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s>
        <w:spacing w:after="240"/>
        <w:ind w:firstLine="720"/>
        <w:jc w:val="center"/>
        <w:rPr>
          <w:b/>
          <w:bCs/>
          <w:sz w:val="28"/>
          <w:szCs w:val="28"/>
          <w:lang w:val="vi-VN"/>
        </w:rPr>
      </w:pPr>
      <w:r>
        <w:rPr>
          <w:b/>
          <w:bCs/>
          <w:sz w:val="28"/>
          <w:szCs w:val="28"/>
          <w:lang w:val="vi-VN"/>
        </w:rPr>
        <w:t xml:space="preserve">Phụ lục 1: </w:t>
      </w:r>
      <w:r>
        <w:rPr>
          <w:b/>
          <w:bCs/>
          <w:sz w:val="28"/>
          <w:szCs w:val="28"/>
          <w:lang w:val="nl-NL"/>
        </w:rPr>
        <w:t>Đánh giá hoạt động hiệu quả, bền vững</w:t>
      </w:r>
      <w:r>
        <w:rPr>
          <w:b/>
          <w:bCs/>
          <w:sz w:val="28"/>
          <w:szCs w:val="28"/>
          <w:lang w:val="vi-VN"/>
        </w:rPr>
        <w:t xml:space="preserve"> của tổ chức thủy lợi cơ sở</w:t>
      </w:r>
    </w:p>
    <w:tbl>
      <w:tblPr>
        <w:tblpPr w:leftFromText="180" w:rightFromText="180" w:vertAnchor="text" w:tblpXSpec="center" w:tblpY="1"/>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31"/>
        <w:gridCol w:w="6042"/>
        <w:gridCol w:w="1205"/>
        <w:gridCol w:w="1450"/>
      </w:tblGrid>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TT</w:t>
            </w:r>
          </w:p>
        </w:tc>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Chỉ tiêu đánh giá</w:t>
            </w:r>
          </w:p>
        </w:tc>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Điểm tối đa</w:t>
            </w:r>
          </w:p>
        </w:tc>
        <w:tc>
          <w:tcPr>
            <w:tcW w:w="0" w:type="auto"/>
            <w:vAlign w:val="center"/>
          </w:tcPr>
          <w:p>
            <w:pPr>
              <w:widowControl w:val="0"/>
              <w:autoSpaceDE w:val="0"/>
              <w:autoSpaceDN w:val="0"/>
              <w:adjustRightInd w:val="0"/>
              <w:spacing w:before="60" w:after="60"/>
              <w:jc w:val="center"/>
              <w:rPr>
                <w:rStyle w:val="OnceABox"/>
                <w:b/>
                <w:i w:val="0"/>
                <w:iCs w:val="0"/>
                <w:color w:val="auto"/>
                <w:lang w:val="vi-VN"/>
              </w:rPr>
            </w:pPr>
            <w:r>
              <w:rPr>
                <w:rStyle w:val="OnceABox"/>
                <w:b/>
                <w:i w:val="0"/>
                <w:color w:val="auto"/>
              </w:rPr>
              <w:t>Điểm</w:t>
            </w:r>
            <w:r>
              <w:rPr>
                <w:rStyle w:val="OnceABox"/>
                <w:b/>
                <w:i w:val="0"/>
                <w:color w:val="auto"/>
                <w:lang w:val="vi-VN"/>
              </w:rPr>
              <w:t xml:space="preserve"> </w:t>
            </w:r>
            <w:r>
              <w:rPr>
                <w:rStyle w:val="OnceABox"/>
                <w:b/>
                <w:i w:val="0"/>
                <w:color w:val="auto"/>
              </w:rPr>
              <w:t>đánh</w:t>
            </w:r>
            <w:r>
              <w:rPr>
                <w:rStyle w:val="OnceABox"/>
                <w:b/>
                <w:i w:val="0"/>
                <w:color w:val="auto"/>
                <w:lang w:val="vi-VN"/>
              </w:rPr>
              <w:t xml:space="preserve"> giá</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1</w:t>
            </w:r>
          </w:p>
        </w:tc>
        <w:tc>
          <w:tcPr>
            <w:tcW w:w="0" w:type="auto"/>
            <w:shd w:val="clear" w:color="auto" w:fill="auto"/>
            <w:vAlign w:val="center"/>
          </w:tcPr>
          <w:p>
            <w:pPr>
              <w:widowControl w:val="0"/>
              <w:autoSpaceDE w:val="0"/>
              <w:autoSpaceDN w:val="0"/>
              <w:adjustRightInd w:val="0"/>
              <w:spacing w:before="60" w:after="60"/>
              <w:jc w:val="both"/>
              <w:rPr>
                <w:rStyle w:val="OnceABox"/>
                <w:b/>
                <w:i w:val="0"/>
                <w:iCs w:val="0"/>
                <w:color w:val="auto"/>
              </w:rPr>
            </w:pPr>
            <w:r>
              <w:rPr>
                <w:rStyle w:val="OnceABox"/>
                <w:b/>
                <w:i w:val="0"/>
                <w:color w:val="auto"/>
              </w:rPr>
              <w:t>Thực hiện kế hoạch cấp, tưới, tiêu và thoát nước</w:t>
            </w:r>
          </w:p>
        </w:tc>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30</w:t>
            </w:r>
          </w:p>
        </w:tc>
        <w:tc>
          <w:tcPr>
            <w:tcW w:w="0" w:type="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30</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1.1</w:t>
            </w:r>
          </w:p>
        </w:tc>
        <w:tc>
          <w:tcPr>
            <w:tcW w:w="0" w:type="auto"/>
            <w:shd w:val="clear" w:color="auto" w:fill="auto"/>
            <w:vAlign w:val="center"/>
          </w:tcPr>
          <w:p>
            <w:pPr>
              <w:widowControl w:val="0"/>
              <w:autoSpaceDE w:val="0"/>
              <w:autoSpaceDN w:val="0"/>
              <w:adjustRightInd w:val="0"/>
              <w:spacing w:before="60" w:after="60"/>
              <w:jc w:val="both"/>
              <w:rPr>
                <w:rStyle w:val="OnceABox"/>
                <w:i w:val="0"/>
                <w:iCs w:val="0"/>
                <w:color w:val="auto"/>
              </w:rPr>
            </w:pPr>
            <w:r>
              <w:rPr>
                <w:rStyle w:val="OnceABox"/>
                <w:i w:val="0"/>
                <w:color w:val="auto"/>
              </w:rPr>
              <w:t>Lập kế hoạch cấp, tưới, tiêu và thoát nước</w:t>
            </w:r>
          </w:p>
        </w:tc>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10</w:t>
            </w:r>
          </w:p>
        </w:tc>
        <w:tc>
          <w:tcPr>
            <w:tcW w:w="0" w:type="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10</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1.2</w:t>
            </w:r>
          </w:p>
        </w:tc>
        <w:tc>
          <w:tcPr>
            <w:tcW w:w="0" w:type="auto"/>
            <w:shd w:val="clear" w:color="auto" w:fill="auto"/>
            <w:vAlign w:val="center"/>
          </w:tcPr>
          <w:p>
            <w:pPr>
              <w:widowControl w:val="0"/>
              <w:autoSpaceDE w:val="0"/>
              <w:autoSpaceDN w:val="0"/>
              <w:adjustRightInd w:val="0"/>
              <w:spacing w:before="60" w:after="60"/>
              <w:jc w:val="both"/>
              <w:rPr>
                <w:rStyle w:val="OnceABox"/>
                <w:i w:val="0"/>
                <w:iCs w:val="0"/>
                <w:color w:val="auto"/>
              </w:rPr>
            </w:pPr>
            <w:r>
              <w:rPr>
                <w:rStyle w:val="OnceABox"/>
                <w:i w:val="0"/>
                <w:color w:val="auto"/>
              </w:rPr>
              <w:t>Tỉ lệ diện tích đất sản xuất nông nghiệp được tưới, tiêu chủ động (T)</w:t>
            </w:r>
          </w:p>
        </w:tc>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20</w:t>
            </w:r>
          </w:p>
        </w:tc>
        <w:tc>
          <w:tcPr>
            <w:tcW w:w="0" w:type="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20</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2</w:t>
            </w:r>
          </w:p>
        </w:tc>
        <w:tc>
          <w:tcPr>
            <w:tcW w:w="0" w:type="auto"/>
            <w:shd w:val="clear" w:color="auto" w:fill="auto"/>
            <w:vAlign w:val="center"/>
          </w:tcPr>
          <w:p>
            <w:pPr>
              <w:widowControl w:val="0"/>
              <w:autoSpaceDE w:val="0"/>
              <w:autoSpaceDN w:val="0"/>
              <w:adjustRightInd w:val="0"/>
              <w:spacing w:before="60" w:after="60"/>
              <w:jc w:val="both"/>
              <w:rPr>
                <w:rStyle w:val="OnceABox"/>
                <w:b/>
                <w:i w:val="0"/>
                <w:iCs w:val="0"/>
                <w:color w:val="auto"/>
              </w:rPr>
            </w:pPr>
            <w:r>
              <w:rPr>
                <w:rStyle w:val="OnceABox"/>
                <w:b/>
                <w:i w:val="0"/>
                <w:color w:val="auto"/>
              </w:rPr>
              <w:t>Thực hiện bảo dưỡng, sửa chữa công trình thủy lợi</w:t>
            </w:r>
          </w:p>
        </w:tc>
        <w:tc>
          <w:tcPr>
            <w:tcW w:w="0" w:type="auto"/>
            <w:shd w:val="clear" w:color="auto" w:fill="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30</w:t>
            </w:r>
          </w:p>
        </w:tc>
        <w:tc>
          <w:tcPr>
            <w:tcW w:w="0" w:type="auto"/>
            <w:vAlign w:val="center"/>
          </w:tcPr>
          <w:p>
            <w:pPr>
              <w:widowControl w:val="0"/>
              <w:autoSpaceDE w:val="0"/>
              <w:autoSpaceDN w:val="0"/>
              <w:adjustRightInd w:val="0"/>
              <w:spacing w:before="60" w:after="60"/>
              <w:jc w:val="center"/>
              <w:rPr>
                <w:rStyle w:val="OnceABox"/>
                <w:b/>
                <w:i w:val="0"/>
                <w:iCs w:val="0"/>
                <w:color w:val="auto"/>
              </w:rPr>
            </w:pPr>
            <w:r>
              <w:rPr>
                <w:rStyle w:val="OnceABox"/>
                <w:b/>
                <w:i w:val="0"/>
                <w:color w:val="auto"/>
              </w:rPr>
              <w:t>20</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2.1</w:t>
            </w:r>
          </w:p>
        </w:tc>
        <w:tc>
          <w:tcPr>
            <w:tcW w:w="0" w:type="auto"/>
            <w:shd w:val="clear" w:color="auto" w:fill="auto"/>
            <w:vAlign w:val="center"/>
          </w:tcPr>
          <w:p>
            <w:pPr>
              <w:widowControl w:val="0"/>
              <w:autoSpaceDE w:val="0"/>
              <w:autoSpaceDN w:val="0"/>
              <w:adjustRightInd w:val="0"/>
              <w:spacing w:before="60" w:after="60"/>
              <w:jc w:val="both"/>
              <w:rPr>
                <w:rStyle w:val="OnceABox"/>
                <w:i w:val="0"/>
                <w:iCs w:val="0"/>
                <w:color w:val="auto"/>
              </w:rPr>
            </w:pPr>
            <w:r>
              <w:rPr>
                <w:rStyle w:val="OnceABox"/>
                <w:i w:val="0"/>
                <w:color w:val="auto"/>
              </w:rPr>
              <w:t xml:space="preserve">Lập kế hoạch bảo dưỡng, sửa chữa </w:t>
            </w:r>
            <w:r>
              <w:rPr>
                <w:i/>
                <w:sz w:val="28"/>
                <w:szCs w:val="28"/>
              </w:rPr>
              <w:t>công trình thủy lợi</w:t>
            </w:r>
          </w:p>
        </w:tc>
        <w:tc>
          <w:tcPr>
            <w:tcW w:w="0" w:type="auto"/>
            <w:shd w:val="clear" w:color="auto" w:fill="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5</w:t>
            </w:r>
          </w:p>
        </w:tc>
        <w:tc>
          <w:tcPr>
            <w:tcW w:w="0" w:type="auto"/>
            <w:vAlign w:val="center"/>
          </w:tcPr>
          <w:p>
            <w:pPr>
              <w:widowControl w:val="0"/>
              <w:autoSpaceDE w:val="0"/>
              <w:autoSpaceDN w:val="0"/>
              <w:adjustRightInd w:val="0"/>
              <w:spacing w:before="60" w:after="60"/>
              <w:jc w:val="center"/>
              <w:rPr>
                <w:rStyle w:val="OnceABox"/>
                <w:i w:val="0"/>
                <w:iCs w:val="0"/>
                <w:color w:val="auto"/>
              </w:rPr>
            </w:pPr>
            <w:r>
              <w:rPr>
                <w:rStyle w:val="OnceABox"/>
                <w:i w:val="0"/>
                <w:color w:val="auto"/>
              </w:rPr>
              <w:t>5</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2.2</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Thực hiện kế hoạch bảo dưỡng, sửa chữa công trình thủy lợi</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20</w:t>
            </w:r>
          </w:p>
        </w:tc>
        <w:tc>
          <w:tcPr>
            <w:tcW w:w="0" w:type="auto"/>
            <w:vAlign w:val="center"/>
          </w:tcPr>
          <w:p>
            <w:pPr>
              <w:widowControl w:val="0"/>
              <w:autoSpaceDE w:val="0"/>
              <w:autoSpaceDN w:val="0"/>
              <w:adjustRightInd w:val="0"/>
              <w:spacing w:before="60" w:after="60"/>
              <w:jc w:val="center"/>
              <w:rPr>
                <w:sz w:val="28"/>
                <w:szCs w:val="28"/>
              </w:rPr>
            </w:pPr>
            <w:r>
              <w:rPr>
                <w:sz w:val="28"/>
                <w:szCs w:val="28"/>
              </w:rPr>
              <w:t>15</w:t>
            </w:r>
          </w:p>
        </w:tc>
      </w:tr>
      <w:tr>
        <w:trPr>
          <w:cantSplit/>
          <w:trHeight w:val="258"/>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2.3</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Lập và thực hiện phương án bảo vệ công trình</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5</w:t>
            </w:r>
          </w:p>
        </w:tc>
        <w:tc>
          <w:tcPr>
            <w:tcW w:w="0" w:type="auto"/>
            <w:vAlign w:val="center"/>
          </w:tcPr>
          <w:p>
            <w:pPr>
              <w:widowControl w:val="0"/>
              <w:autoSpaceDE w:val="0"/>
              <w:autoSpaceDN w:val="0"/>
              <w:adjustRightInd w:val="0"/>
              <w:spacing w:before="60" w:after="60"/>
              <w:jc w:val="center"/>
              <w:rPr>
                <w:sz w:val="28"/>
                <w:szCs w:val="28"/>
              </w:rPr>
            </w:pPr>
            <w:r>
              <w:rPr>
                <w:sz w:val="28"/>
                <w:szCs w:val="28"/>
              </w:rPr>
              <w:t>-</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3</w:t>
            </w:r>
          </w:p>
        </w:tc>
        <w:tc>
          <w:tcPr>
            <w:tcW w:w="0" w:type="auto"/>
            <w:shd w:val="clear" w:color="auto" w:fill="auto"/>
            <w:vAlign w:val="center"/>
          </w:tcPr>
          <w:p>
            <w:pPr>
              <w:widowControl w:val="0"/>
              <w:autoSpaceDE w:val="0"/>
              <w:autoSpaceDN w:val="0"/>
              <w:adjustRightInd w:val="0"/>
              <w:spacing w:before="60" w:after="60"/>
              <w:jc w:val="both"/>
              <w:rPr>
                <w:b/>
                <w:sz w:val="28"/>
                <w:szCs w:val="28"/>
              </w:rPr>
            </w:pPr>
            <w:r>
              <w:rPr>
                <w:b/>
                <w:sz w:val="28"/>
                <w:szCs w:val="28"/>
              </w:rPr>
              <w:t>Quản lý tài chính</w:t>
            </w:r>
          </w:p>
        </w:tc>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20</w:t>
            </w:r>
          </w:p>
        </w:tc>
        <w:tc>
          <w:tcPr>
            <w:tcW w:w="0" w:type="auto"/>
            <w:vAlign w:val="center"/>
          </w:tcPr>
          <w:p>
            <w:pPr>
              <w:widowControl w:val="0"/>
              <w:autoSpaceDE w:val="0"/>
              <w:autoSpaceDN w:val="0"/>
              <w:adjustRightInd w:val="0"/>
              <w:spacing w:before="60" w:after="60"/>
              <w:jc w:val="center"/>
              <w:rPr>
                <w:b/>
                <w:sz w:val="28"/>
                <w:szCs w:val="28"/>
              </w:rPr>
            </w:pPr>
            <w:r>
              <w:rPr>
                <w:b/>
                <w:sz w:val="28"/>
                <w:szCs w:val="28"/>
              </w:rPr>
              <w:t>15</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3.1</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Lập kế hoạch tài chính</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5</w:t>
            </w:r>
          </w:p>
        </w:tc>
        <w:tc>
          <w:tcPr>
            <w:tcW w:w="0" w:type="auto"/>
            <w:vAlign w:val="center"/>
          </w:tcPr>
          <w:p>
            <w:pPr>
              <w:widowControl w:val="0"/>
              <w:autoSpaceDE w:val="0"/>
              <w:autoSpaceDN w:val="0"/>
              <w:adjustRightInd w:val="0"/>
              <w:spacing w:before="60" w:after="60"/>
              <w:jc w:val="center"/>
              <w:rPr>
                <w:sz w:val="28"/>
                <w:szCs w:val="28"/>
              </w:rPr>
            </w:pPr>
            <w:r>
              <w:rPr>
                <w:sz w:val="28"/>
                <w:szCs w:val="28"/>
              </w:rPr>
              <w:t>5</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3.2</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Thực hiện kế hoạch tài chính đối với dịch vụ thủy lợi</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10</w:t>
            </w:r>
          </w:p>
        </w:tc>
        <w:tc>
          <w:tcPr>
            <w:tcW w:w="0" w:type="auto"/>
            <w:vAlign w:val="center"/>
          </w:tcPr>
          <w:p>
            <w:pPr>
              <w:widowControl w:val="0"/>
              <w:autoSpaceDE w:val="0"/>
              <w:autoSpaceDN w:val="0"/>
              <w:adjustRightInd w:val="0"/>
              <w:spacing w:before="60" w:after="60"/>
              <w:jc w:val="center"/>
              <w:rPr>
                <w:sz w:val="28"/>
                <w:szCs w:val="28"/>
              </w:rPr>
            </w:pPr>
            <w:r>
              <w:rPr>
                <w:sz w:val="28"/>
                <w:szCs w:val="28"/>
              </w:rPr>
              <w:t>10</w:t>
            </w:r>
          </w:p>
        </w:tc>
      </w:tr>
      <w:tr>
        <w:trPr>
          <w:cantSplit/>
          <w:trHeight w:val="602"/>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3.3</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Thực hiện quyết toán, công khai tài chính theo quy định</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5</w:t>
            </w:r>
          </w:p>
        </w:tc>
        <w:tc>
          <w:tcPr>
            <w:tcW w:w="0" w:type="auto"/>
            <w:vAlign w:val="center"/>
          </w:tcPr>
          <w:p>
            <w:pPr>
              <w:widowControl w:val="0"/>
              <w:autoSpaceDE w:val="0"/>
              <w:autoSpaceDN w:val="0"/>
              <w:adjustRightInd w:val="0"/>
              <w:spacing w:before="60" w:after="60"/>
              <w:jc w:val="center"/>
              <w:rPr>
                <w:sz w:val="28"/>
                <w:szCs w:val="28"/>
              </w:rPr>
            </w:pPr>
            <w:r>
              <w:rPr>
                <w:sz w:val="28"/>
                <w:szCs w:val="28"/>
              </w:rPr>
              <w:t>-</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4</w:t>
            </w:r>
          </w:p>
        </w:tc>
        <w:tc>
          <w:tcPr>
            <w:tcW w:w="0" w:type="auto"/>
            <w:shd w:val="clear" w:color="auto" w:fill="auto"/>
            <w:vAlign w:val="center"/>
          </w:tcPr>
          <w:p>
            <w:pPr>
              <w:widowControl w:val="0"/>
              <w:autoSpaceDE w:val="0"/>
              <w:autoSpaceDN w:val="0"/>
              <w:adjustRightInd w:val="0"/>
              <w:spacing w:before="60" w:after="60"/>
              <w:jc w:val="both"/>
              <w:rPr>
                <w:b/>
                <w:sz w:val="28"/>
                <w:szCs w:val="28"/>
              </w:rPr>
            </w:pPr>
            <w:r>
              <w:rPr>
                <w:b/>
                <w:sz w:val="28"/>
                <w:szCs w:val="28"/>
              </w:rPr>
              <w:t>Thực hiện đa dịch vụ</w:t>
            </w:r>
          </w:p>
        </w:tc>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10</w:t>
            </w:r>
          </w:p>
        </w:tc>
        <w:tc>
          <w:tcPr>
            <w:tcW w:w="0" w:type="auto"/>
            <w:vAlign w:val="center"/>
          </w:tcPr>
          <w:p>
            <w:pPr>
              <w:widowControl w:val="0"/>
              <w:autoSpaceDE w:val="0"/>
              <w:autoSpaceDN w:val="0"/>
              <w:adjustRightInd w:val="0"/>
              <w:spacing w:before="60" w:after="60"/>
              <w:jc w:val="center"/>
              <w:rPr>
                <w:b/>
                <w:sz w:val="28"/>
                <w:szCs w:val="28"/>
              </w:rPr>
            </w:pPr>
            <w:r>
              <w:rPr>
                <w:b/>
                <w:sz w:val="28"/>
                <w:szCs w:val="28"/>
              </w:rPr>
              <w:t>6</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4.1</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Phát triển các sản phẩm dịch vụ khác</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7</w:t>
            </w:r>
          </w:p>
        </w:tc>
        <w:tc>
          <w:tcPr>
            <w:tcW w:w="0" w:type="auto"/>
            <w:vAlign w:val="center"/>
          </w:tcPr>
          <w:p>
            <w:pPr>
              <w:widowControl w:val="0"/>
              <w:autoSpaceDE w:val="0"/>
              <w:autoSpaceDN w:val="0"/>
              <w:adjustRightInd w:val="0"/>
              <w:spacing w:before="60" w:after="60"/>
              <w:jc w:val="center"/>
              <w:rPr>
                <w:sz w:val="28"/>
                <w:szCs w:val="28"/>
              </w:rPr>
            </w:pPr>
            <w:r>
              <w:rPr>
                <w:sz w:val="28"/>
                <w:szCs w:val="28"/>
              </w:rPr>
              <w:t>3</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4.2</w:t>
            </w:r>
          </w:p>
        </w:tc>
        <w:tc>
          <w:tcPr>
            <w:tcW w:w="0" w:type="auto"/>
            <w:shd w:val="clear" w:color="auto" w:fill="auto"/>
            <w:vAlign w:val="center"/>
          </w:tcPr>
          <w:p>
            <w:pPr>
              <w:widowControl w:val="0"/>
              <w:autoSpaceDE w:val="0"/>
              <w:autoSpaceDN w:val="0"/>
              <w:adjustRightInd w:val="0"/>
              <w:spacing w:before="60" w:after="60"/>
              <w:jc w:val="both"/>
              <w:rPr>
                <w:sz w:val="28"/>
                <w:szCs w:val="28"/>
              </w:rPr>
            </w:pPr>
            <w:r>
              <w:rPr>
                <w:sz w:val="28"/>
                <w:szCs w:val="28"/>
              </w:rPr>
              <w:t>Ứng dụng khoa học công nghệ trong xây dựng, quản lý công trình thủy lợi</w:t>
            </w:r>
          </w:p>
        </w:tc>
        <w:tc>
          <w:tcPr>
            <w:tcW w:w="0" w:type="auto"/>
            <w:shd w:val="clear" w:color="auto" w:fill="auto"/>
            <w:vAlign w:val="center"/>
          </w:tcPr>
          <w:p>
            <w:pPr>
              <w:widowControl w:val="0"/>
              <w:autoSpaceDE w:val="0"/>
              <w:autoSpaceDN w:val="0"/>
              <w:adjustRightInd w:val="0"/>
              <w:spacing w:before="60" w:after="60"/>
              <w:jc w:val="center"/>
              <w:rPr>
                <w:sz w:val="28"/>
                <w:szCs w:val="28"/>
              </w:rPr>
            </w:pPr>
            <w:r>
              <w:rPr>
                <w:sz w:val="28"/>
                <w:szCs w:val="28"/>
              </w:rPr>
              <w:t>3</w:t>
            </w:r>
          </w:p>
        </w:tc>
        <w:tc>
          <w:tcPr>
            <w:tcW w:w="0" w:type="auto"/>
            <w:vAlign w:val="center"/>
          </w:tcPr>
          <w:p>
            <w:pPr>
              <w:widowControl w:val="0"/>
              <w:autoSpaceDE w:val="0"/>
              <w:autoSpaceDN w:val="0"/>
              <w:adjustRightInd w:val="0"/>
              <w:spacing w:before="60" w:after="60"/>
              <w:jc w:val="center"/>
              <w:rPr>
                <w:sz w:val="28"/>
                <w:szCs w:val="28"/>
              </w:rPr>
            </w:pPr>
            <w:r>
              <w:rPr>
                <w:sz w:val="28"/>
                <w:szCs w:val="28"/>
              </w:rPr>
              <w:t>3</w:t>
            </w:r>
          </w:p>
        </w:tc>
      </w:tr>
      <w:tr>
        <w:trPr>
          <w:cantSplit/>
          <w:trHeight w:val="574"/>
          <w:tblHeader/>
          <w:jc w:val="center"/>
        </w:trPr>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5</w:t>
            </w:r>
          </w:p>
        </w:tc>
        <w:tc>
          <w:tcPr>
            <w:tcW w:w="0" w:type="auto"/>
            <w:shd w:val="clear" w:color="auto" w:fill="auto"/>
            <w:vAlign w:val="center"/>
          </w:tcPr>
          <w:p>
            <w:pPr>
              <w:widowControl w:val="0"/>
              <w:autoSpaceDE w:val="0"/>
              <w:autoSpaceDN w:val="0"/>
              <w:adjustRightInd w:val="0"/>
              <w:spacing w:before="60" w:after="60"/>
              <w:jc w:val="both"/>
              <w:rPr>
                <w:b/>
                <w:sz w:val="28"/>
                <w:szCs w:val="28"/>
              </w:rPr>
            </w:pPr>
            <w:r>
              <w:rPr>
                <w:b/>
                <w:sz w:val="28"/>
                <w:szCs w:val="28"/>
              </w:rPr>
              <w:t>Mức độ hài lòng của thành viên</w:t>
            </w:r>
          </w:p>
        </w:tc>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10</w:t>
            </w:r>
          </w:p>
        </w:tc>
        <w:tc>
          <w:tcPr>
            <w:tcW w:w="0" w:type="auto"/>
            <w:vAlign w:val="center"/>
          </w:tcPr>
          <w:p>
            <w:pPr>
              <w:widowControl w:val="0"/>
              <w:autoSpaceDE w:val="0"/>
              <w:autoSpaceDN w:val="0"/>
              <w:adjustRightInd w:val="0"/>
              <w:spacing w:before="60" w:after="60"/>
              <w:jc w:val="center"/>
              <w:rPr>
                <w:b/>
                <w:sz w:val="28"/>
                <w:szCs w:val="28"/>
              </w:rPr>
            </w:pPr>
            <w:r>
              <w:rPr>
                <w:b/>
                <w:sz w:val="28"/>
                <w:szCs w:val="28"/>
              </w:rPr>
              <w:t>10</w:t>
            </w:r>
          </w:p>
        </w:tc>
      </w:tr>
      <w:tr>
        <w:trPr>
          <w:cantSplit/>
          <w:tblHeader/>
          <w:jc w:val="center"/>
        </w:trPr>
        <w:tc>
          <w:tcPr>
            <w:tcW w:w="0" w:type="auto"/>
            <w:shd w:val="clear" w:color="auto" w:fill="auto"/>
            <w:vAlign w:val="center"/>
          </w:tcPr>
          <w:p>
            <w:pPr>
              <w:widowControl w:val="0"/>
              <w:autoSpaceDE w:val="0"/>
              <w:autoSpaceDN w:val="0"/>
              <w:adjustRightInd w:val="0"/>
              <w:spacing w:before="60" w:after="60"/>
              <w:jc w:val="center"/>
              <w:rPr>
                <w:b/>
                <w:sz w:val="28"/>
                <w:szCs w:val="28"/>
              </w:rPr>
            </w:pPr>
          </w:p>
        </w:tc>
        <w:tc>
          <w:tcPr>
            <w:tcW w:w="0" w:type="auto"/>
            <w:shd w:val="clear" w:color="auto" w:fill="auto"/>
            <w:vAlign w:val="center"/>
          </w:tcPr>
          <w:p>
            <w:pPr>
              <w:widowControl w:val="0"/>
              <w:autoSpaceDE w:val="0"/>
              <w:autoSpaceDN w:val="0"/>
              <w:adjustRightInd w:val="0"/>
              <w:spacing w:before="60" w:after="60"/>
              <w:jc w:val="both"/>
              <w:rPr>
                <w:b/>
                <w:sz w:val="28"/>
                <w:szCs w:val="28"/>
              </w:rPr>
            </w:pPr>
            <w:r>
              <w:rPr>
                <w:b/>
                <w:sz w:val="28"/>
                <w:szCs w:val="28"/>
              </w:rPr>
              <w:t>Tổng cộng</w:t>
            </w:r>
          </w:p>
        </w:tc>
        <w:tc>
          <w:tcPr>
            <w:tcW w:w="0" w:type="auto"/>
            <w:shd w:val="clear" w:color="auto" w:fill="auto"/>
            <w:vAlign w:val="center"/>
          </w:tcPr>
          <w:p>
            <w:pPr>
              <w:widowControl w:val="0"/>
              <w:autoSpaceDE w:val="0"/>
              <w:autoSpaceDN w:val="0"/>
              <w:adjustRightInd w:val="0"/>
              <w:spacing w:before="60" w:after="60"/>
              <w:jc w:val="center"/>
              <w:rPr>
                <w:b/>
                <w:sz w:val="28"/>
                <w:szCs w:val="28"/>
              </w:rPr>
            </w:pPr>
            <w:r>
              <w:rPr>
                <w:b/>
                <w:sz w:val="28"/>
                <w:szCs w:val="28"/>
              </w:rPr>
              <w:t>100</w:t>
            </w:r>
          </w:p>
        </w:tc>
        <w:tc>
          <w:tcPr>
            <w:tcW w:w="0" w:type="auto"/>
            <w:vAlign w:val="center"/>
          </w:tcPr>
          <w:p>
            <w:pPr>
              <w:widowControl w:val="0"/>
              <w:autoSpaceDE w:val="0"/>
              <w:autoSpaceDN w:val="0"/>
              <w:adjustRightInd w:val="0"/>
              <w:spacing w:before="60" w:after="60"/>
              <w:jc w:val="center"/>
              <w:rPr>
                <w:b/>
                <w:sz w:val="28"/>
                <w:szCs w:val="28"/>
              </w:rPr>
            </w:pPr>
            <w:r>
              <w:rPr>
                <w:b/>
                <w:sz w:val="28"/>
                <w:szCs w:val="28"/>
              </w:rPr>
              <w:t>81</w:t>
            </w:r>
          </w:p>
        </w:tc>
      </w:tr>
    </w:tbl>
    <w:p>
      <w:pPr>
        <w:tabs>
          <w:tab w:val="left" w:pos="720"/>
        </w:tabs>
        <w:spacing w:after="240"/>
        <w:ind w:firstLine="720"/>
        <w:jc w:val="center"/>
        <w:rPr>
          <w:b/>
          <w:bCs/>
          <w:sz w:val="28"/>
          <w:szCs w:val="28"/>
          <w:lang w:val="vi-VN"/>
        </w:rPr>
      </w:pPr>
    </w:p>
    <w:p>
      <w:pPr>
        <w:spacing w:after="240"/>
        <w:jc w:val="center"/>
        <w:rPr>
          <w:b/>
          <w:bCs/>
          <w:sz w:val="28"/>
          <w:szCs w:val="28"/>
          <w:lang w:val="vi-VN"/>
        </w:rPr>
      </w:pPr>
    </w:p>
    <w:p>
      <w:pPr>
        <w:spacing w:after="240"/>
        <w:jc w:val="center"/>
        <w:rPr>
          <w:b/>
          <w:bCs/>
          <w:sz w:val="28"/>
          <w:szCs w:val="28"/>
          <w:lang w:val="vi-VN"/>
        </w:rPr>
      </w:pPr>
    </w:p>
    <w:p>
      <w:pPr>
        <w:spacing w:after="240"/>
        <w:jc w:val="center"/>
        <w:rPr>
          <w:b/>
          <w:bCs/>
          <w:sz w:val="28"/>
          <w:szCs w:val="28"/>
        </w:rPr>
      </w:pPr>
    </w:p>
    <w:p>
      <w:pPr>
        <w:spacing w:after="240"/>
        <w:jc w:val="center"/>
        <w:rPr>
          <w:b/>
          <w:bCs/>
          <w:sz w:val="28"/>
          <w:szCs w:val="28"/>
        </w:rPr>
      </w:pPr>
    </w:p>
    <w:p>
      <w:pPr>
        <w:spacing w:after="240"/>
        <w:rPr>
          <w:b/>
          <w:bCs/>
          <w:sz w:val="28"/>
          <w:szCs w:val="28"/>
        </w:rPr>
      </w:pPr>
    </w:p>
    <w:p>
      <w:pPr>
        <w:spacing w:after="240"/>
        <w:jc w:val="center"/>
        <w:rPr>
          <w:b/>
          <w:bCs/>
          <w:sz w:val="28"/>
          <w:szCs w:val="28"/>
          <w:lang w:val="vi-VN"/>
        </w:rPr>
      </w:pPr>
      <w:r>
        <w:rPr>
          <w:b/>
          <w:bCs/>
          <w:sz w:val="28"/>
          <w:szCs w:val="28"/>
        </w:rPr>
        <w:lastRenderedPageBreak/>
        <w:t>Phụ lục 2: Tỷ lệ diện tích cây trồng chủ lực của địa phương được tưới tiên tiến, tiết kiệm nước</w:t>
      </w:r>
    </w:p>
    <w:p>
      <w:pPr>
        <w:pStyle w:val="ListParagraph"/>
        <w:numPr>
          <w:ilvl w:val="0"/>
          <w:numId w:val="1"/>
        </w:numPr>
        <w:spacing w:line="264" w:lineRule="auto"/>
        <w:rPr>
          <w:b/>
          <w:sz w:val="28"/>
          <w:szCs w:val="28"/>
        </w:rPr>
      </w:pPr>
      <w:r>
        <w:rPr>
          <w:b/>
          <w:sz w:val="28"/>
          <w:szCs w:val="28"/>
        </w:rPr>
        <w:t>Đối với cây lúa.</w:t>
      </w:r>
    </w:p>
    <w:tbl>
      <w:tblPr>
        <w:tblpPr w:leftFromText="180" w:rightFromText="180" w:vertAnchor="text" w:horzAnchor="margin" w:tblpY="140"/>
        <w:tblOverlap w:val="never"/>
        <w:tblW w:w="9888" w:type="dxa"/>
        <w:tblLayout w:type="fixed"/>
        <w:tblCellMar>
          <w:top w:w="15" w:type="dxa"/>
          <w:left w:w="15" w:type="dxa"/>
          <w:bottom w:w="15" w:type="dxa"/>
          <w:right w:w="15" w:type="dxa"/>
        </w:tblCellMar>
        <w:tblLook w:val="04A0" w:firstRow="1" w:lastRow="0" w:firstColumn="1" w:lastColumn="0" w:noHBand="0" w:noVBand="1"/>
      </w:tblPr>
      <w:tblGrid>
        <w:gridCol w:w="667"/>
        <w:gridCol w:w="2127"/>
        <w:gridCol w:w="1984"/>
        <w:gridCol w:w="2792"/>
        <w:gridCol w:w="2318"/>
      </w:tblGrid>
      <w:tr>
        <w:trPr>
          <w:trHeight w:val="1059"/>
        </w:trPr>
        <w:tc>
          <w:tcPr>
            <w:tcW w:w="6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TT </w:t>
            </w:r>
          </w:p>
        </w:tc>
        <w:tc>
          <w:tcPr>
            <w:tcW w:w="21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Vụ sản xuất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Diện tích gieo  </w:t>
            </w:r>
          </w:p>
          <w:p>
            <w:pPr>
              <w:spacing w:before="120" w:after="120"/>
              <w:ind w:left="123" w:right="53"/>
              <w:jc w:val="center"/>
              <w:rPr>
                <w:sz w:val="28"/>
                <w:szCs w:val="28"/>
              </w:rPr>
            </w:pPr>
            <w:r>
              <w:rPr>
                <w:sz w:val="28"/>
                <w:szCs w:val="28"/>
              </w:rPr>
              <w:t>trồng lúa theo quy  hoạch/kế hoạch  của xã (ha)</w:t>
            </w:r>
          </w:p>
        </w:tc>
        <w:tc>
          <w:tcPr>
            <w:tcW w:w="27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Diện tích gieo  </w:t>
            </w:r>
          </w:p>
          <w:p>
            <w:pPr>
              <w:spacing w:before="120" w:after="120"/>
              <w:ind w:left="140" w:right="70"/>
              <w:jc w:val="center"/>
              <w:rPr>
                <w:sz w:val="28"/>
                <w:szCs w:val="28"/>
              </w:rPr>
            </w:pPr>
            <w:r>
              <w:rPr>
                <w:sz w:val="28"/>
                <w:szCs w:val="28"/>
              </w:rPr>
              <w:t>trồng lúa thực tế áp  dụng biện pháp  canh tác tiên tiến,  tiết kiệm nước (ha)</w:t>
            </w:r>
          </w:p>
        </w:tc>
        <w:tc>
          <w:tcPr>
            <w:tcW w:w="23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ind w:left="146" w:right="75"/>
              <w:jc w:val="center"/>
              <w:rPr>
                <w:sz w:val="28"/>
                <w:szCs w:val="28"/>
              </w:rPr>
            </w:pPr>
            <w:r>
              <w:rPr>
                <w:sz w:val="28"/>
                <w:szCs w:val="28"/>
              </w:rPr>
              <w:t>Biện pháp canh  tác tiên tiến, tiết  kiệm nước được  áp dụng</w:t>
            </w:r>
          </w:p>
        </w:tc>
      </w:tr>
      <w:tr>
        <w:trPr>
          <w:trHeight w:val="408"/>
        </w:trPr>
        <w:tc>
          <w:tcPr>
            <w:tcW w:w="6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1 </w:t>
            </w:r>
          </w:p>
        </w:tc>
        <w:tc>
          <w:tcPr>
            <w:tcW w:w="21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ind w:left="211"/>
              <w:rPr>
                <w:sz w:val="28"/>
                <w:szCs w:val="28"/>
              </w:rPr>
            </w:pPr>
            <w:r>
              <w:rPr>
                <w:sz w:val="28"/>
                <w:szCs w:val="28"/>
              </w:rPr>
              <w:t>Vụ chiêm xuân</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199</w:t>
            </w:r>
          </w:p>
        </w:tc>
        <w:tc>
          <w:tcPr>
            <w:tcW w:w="27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lang w:val="vi-VN"/>
              </w:rPr>
            </w:pPr>
            <w:r>
              <w:rPr>
                <w:sz w:val="28"/>
                <w:szCs w:val="28"/>
              </w:rPr>
              <w:t>199</w:t>
            </w:r>
          </w:p>
        </w:tc>
        <w:tc>
          <w:tcPr>
            <w:tcW w:w="23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rPr>
                <w:sz w:val="28"/>
                <w:szCs w:val="28"/>
                <w:lang w:val="vi-VN"/>
              </w:rPr>
            </w:pPr>
            <w:r>
              <w:rPr>
                <w:sz w:val="28"/>
                <w:szCs w:val="28"/>
                <w:lang w:val="vi-VN"/>
              </w:rPr>
              <w:t>Nông - lộ - phơi</w:t>
            </w:r>
          </w:p>
        </w:tc>
      </w:tr>
      <w:tr>
        <w:trPr>
          <w:trHeight w:val="409"/>
        </w:trPr>
        <w:tc>
          <w:tcPr>
            <w:tcW w:w="6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2</w:t>
            </w:r>
          </w:p>
        </w:tc>
        <w:tc>
          <w:tcPr>
            <w:tcW w:w="21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ind w:left="211"/>
              <w:rPr>
                <w:sz w:val="28"/>
                <w:szCs w:val="28"/>
              </w:rPr>
            </w:pPr>
            <w:r>
              <w:rPr>
                <w:sz w:val="28"/>
                <w:szCs w:val="28"/>
              </w:rPr>
              <w:t>Vụ mùa</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178,7</w:t>
            </w:r>
          </w:p>
        </w:tc>
        <w:tc>
          <w:tcPr>
            <w:tcW w:w="27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lang w:val="vi-VN"/>
              </w:rPr>
            </w:pPr>
            <w:r>
              <w:rPr>
                <w:sz w:val="28"/>
                <w:szCs w:val="28"/>
              </w:rPr>
              <w:t>178,7</w:t>
            </w:r>
          </w:p>
        </w:tc>
        <w:tc>
          <w:tcPr>
            <w:tcW w:w="23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rPr>
                <w:sz w:val="28"/>
                <w:szCs w:val="28"/>
                <w:lang w:val="vi-VN"/>
              </w:rPr>
            </w:pPr>
            <w:r>
              <w:rPr>
                <w:sz w:val="28"/>
                <w:szCs w:val="28"/>
                <w:lang w:val="vi-VN"/>
              </w:rPr>
              <w:t>Nông - lộ - Phơi</w:t>
            </w:r>
          </w:p>
        </w:tc>
      </w:tr>
      <w:tr>
        <w:trPr>
          <w:trHeight w:val="406"/>
        </w:trPr>
        <w:tc>
          <w:tcPr>
            <w:tcW w:w="27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ind w:right="711"/>
              <w:jc w:val="right"/>
              <w:rPr>
                <w:sz w:val="28"/>
                <w:szCs w:val="28"/>
              </w:rPr>
            </w:pPr>
            <w:r>
              <w:rPr>
                <w:sz w:val="28"/>
                <w:szCs w:val="28"/>
              </w:rPr>
              <w:t>Tổng cộng </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lang w:val="vi-VN"/>
              </w:rPr>
            </w:pPr>
            <w:r>
              <w:rPr>
                <w:sz w:val="28"/>
                <w:szCs w:val="28"/>
              </w:rPr>
              <w:t>S = 377,7</w:t>
            </w:r>
          </w:p>
        </w:tc>
        <w:tc>
          <w:tcPr>
            <w:tcW w:w="27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lang w:val="vi-VN"/>
              </w:rPr>
            </w:pPr>
            <w:r>
              <w:rPr>
                <w:sz w:val="28"/>
                <w:szCs w:val="28"/>
              </w:rPr>
              <w:t>S1 = 377,7</w:t>
            </w:r>
          </w:p>
        </w:tc>
        <w:tc>
          <w:tcPr>
            <w:tcW w:w="23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rPr>
                <w:sz w:val="28"/>
                <w:szCs w:val="28"/>
                <w:lang w:val="vi-VN"/>
              </w:rPr>
            </w:pPr>
          </w:p>
        </w:tc>
      </w:tr>
      <w:tr>
        <w:trPr>
          <w:trHeight w:val="485"/>
        </w:trPr>
        <w:tc>
          <w:tcPr>
            <w:tcW w:w="667" w:type="dxa"/>
            <w:tcBorders>
              <w:top w:val="single" w:sz="4" w:space="0" w:color="auto"/>
              <w:left w:val="single" w:sz="4" w:space="0" w:color="auto"/>
              <w:bottom w:val="single" w:sz="4" w:space="0" w:color="auto"/>
              <w:right w:val="nil"/>
            </w:tcBorders>
            <w:tcMar>
              <w:top w:w="100" w:type="dxa"/>
              <w:left w:w="100" w:type="dxa"/>
              <w:bottom w:w="100" w:type="dxa"/>
              <w:right w:w="100" w:type="dxa"/>
            </w:tcMar>
          </w:tcPr>
          <w:p>
            <w:pPr>
              <w:spacing w:before="120" w:after="120"/>
              <w:rPr>
                <w:sz w:val="28"/>
                <w:szCs w:val="28"/>
              </w:rPr>
            </w:pPr>
          </w:p>
        </w:tc>
        <w:tc>
          <w:tcPr>
            <w:tcW w:w="212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pPr>
              <w:spacing w:before="120" w:after="120"/>
              <w:jc w:val="center"/>
              <w:rPr>
                <w:sz w:val="28"/>
                <w:szCs w:val="28"/>
              </w:rPr>
            </w:pPr>
            <w:r>
              <w:rPr>
                <w:sz w:val="28"/>
                <w:szCs w:val="28"/>
              </w:rPr>
              <w:t>Tỷ lệ (%) </w:t>
            </w:r>
          </w:p>
        </w:tc>
        <w:tc>
          <w:tcPr>
            <w:tcW w:w="47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rPr>
                <w:spacing w:val="-8"/>
                <w:sz w:val="28"/>
                <w:szCs w:val="28"/>
              </w:rPr>
            </w:pPr>
            <w:r>
              <w:rPr>
                <w:spacing w:val="-8"/>
                <w:sz w:val="28"/>
                <w:szCs w:val="28"/>
              </w:rPr>
              <w:t>((S1/S)*100 = (377,7/377,7)*100 =100%</w:t>
            </w:r>
          </w:p>
        </w:tc>
        <w:tc>
          <w:tcPr>
            <w:tcW w:w="23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spacing w:before="120" w:after="120"/>
              <w:rPr>
                <w:sz w:val="28"/>
                <w:szCs w:val="28"/>
              </w:rPr>
            </w:pPr>
          </w:p>
        </w:tc>
      </w:tr>
    </w:tbl>
    <w:p>
      <w:pPr>
        <w:spacing w:line="264" w:lineRule="auto"/>
        <w:ind w:left="720"/>
        <w:rPr>
          <w:b/>
          <w:sz w:val="28"/>
          <w:szCs w:val="28"/>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bCs/>
          <w:sz w:val="28"/>
          <w:szCs w:val="28"/>
          <w:lang w:val="vi-VN"/>
        </w:rPr>
      </w:pPr>
    </w:p>
    <w:p>
      <w:pPr>
        <w:spacing w:after="120"/>
        <w:jc w:val="center"/>
        <w:rPr>
          <w:b/>
          <w:sz w:val="28"/>
          <w:lang w:val="vi-VN"/>
        </w:rPr>
      </w:pPr>
      <w:r>
        <w:rPr>
          <w:b/>
          <w:bCs/>
          <w:sz w:val="28"/>
          <w:szCs w:val="28"/>
        </w:rPr>
        <w:lastRenderedPageBreak/>
        <w:t xml:space="preserve">Phụ lục 3: </w:t>
      </w:r>
      <w:r>
        <w:rPr>
          <w:b/>
          <w:sz w:val="28"/>
        </w:rPr>
        <w:t xml:space="preserve">Đánh giá yêu cầu chủ động về phòng chống thiên </w:t>
      </w:r>
      <w:proofErr w:type="gramStart"/>
      <w:r>
        <w:rPr>
          <w:b/>
          <w:sz w:val="28"/>
        </w:rPr>
        <w:t>tai</w:t>
      </w:r>
      <w:proofErr w:type="gramEnd"/>
      <w:r>
        <w:rPr>
          <w:b/>
          <w:sz w:val="28"/>
        </w:rPr>
        <w:t xml:space="preserve"> theo phương châm 4 tại chỗ</w:t>
      </w:r>
    </w:p>
    <w:tbl>
      <w:tblPr>
        <w:tblW w:w="0" w:type="auto"/>
        <w:tblLook w:val="04A0" w:firstRow="1" w:lastRow="0" w:firstColumn="1" w:lastColumn="0" w:noHBand="0" w:noVBand="1"/>
      </w:tblPr>
      <w:tblGrid>
        <w:gridCol w:w="537"/>
        <w:gridCol w:w="1625"/>
        <w:gridCol w:w="4669"/>
        <w:gridCol w:w="676"/>
        <w:gridCol w:w="929"/>
        <w:gridCol w:w="852"/>
      </w:tblGrid>
      <w:tr>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Nội dung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Chỉ tiêu đánh giá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Yêu cầu</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Thang tính điểm</w:t>
            </w:r>
          </w:p>
        </w:tc>
      </w:tr>
      <w:tr>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40" w:after="40"/>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40" w:after="40"/>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40" w:after="40"/>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40" w:after="40"/>
              <w:rPr>
                <w:b/>
                <w:bCs/>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i/>
                <w:iCs/>
                <w:color w:val="000000"/>
              </w:rPr>
            </w:pPr>
            <w:r>
              <w:rPr>
                <w:b/>
                <w:bCs/>
                <w:i/>
                <w:iCs/>
                <w:color w:val="000000"/>
              </w:rPr>
              <w:t>Thang điểm</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i/>
                <w:iCs/>
                <w:color w:val="000000"/>
              </w:rPr>
            </w:pPr>
            <w:r>
              <w:rPr>
                <w:b/>
                <w:bCs/>
                <w:i/>
                <w:iCs/>
                <w:color w:val="000000"/>
              </w:rPr>
              <w:t xml:space="preserve">Điểm đánh giá </w:t>
            </w:r>
          </w:p>
        </w:tc>
      </w:tr>
      <w:tr>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Tổng điểm</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81</w:t>
            </w:r>
          </w:p>
        </w:tc>
      </w:tr>
      <w:tr>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spacing w:before="40" w:after="40"/>
              <w:rPr>
                <w:b/>
                <w:bCs/>
                <w:color w:val="000000"/>
              </w:rPr>
            </w:pPr>
            <w:r>
              <w:rPr>
                <w:b/>
                <w:bCs/>
                <w:color w:val="000000"/>
              </w:rPr>
              <w:t>Về tổ chức bộ máy và nguồn nhân lực</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35</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33</w:t>
            </w:r>
          </w:p>
        </w:tc>
      </w:tr>
      <w:tr>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Tổ chức bộ máy</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a) Có Ban chỉ huy Phòng, chống thiên tai và Tìm kiếm cứu nạn cấp xã được thành lập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r>
      <w:tr>
        <w:trPr>
          <w:trHeight w:val="42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b) Được kiện toàn thường xuyên, liên tục theo quy định (Quyết định)</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r>
      <w:tr>
        <w:trPr>
          <w:trHeight w:val="72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c) Có công chức cấp xã được phân công theo dõi lĩnh vực PCTT và làm thường trực của Ban chỉ huy PCTT&amp;TKCN cấp xã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r>
      <w:tr>
        <w:trPr>
          <w:trHeight w:val="72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d) Có phân công cụ thể trách nhiệm của từng bộ phận và các thành viên Ban chỉ huy phù hợp với điều kiện của từng địa phương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r>
      <w:tr>
        <w:trPr>
          <w:trHeight w:val="7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Nguồn nhân lực</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a) Có 100% số cán bộ cấp xã tham gia trực tiếp công tác Phòng, chống thiên tai được tập huấn nâng cao năng lực, trình độ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6</w:t>
            </w:r>
          </w:p>
        </w:tc>
      </w:tr>
      <w:tr>
        <w:trPr>
          <w:trHeight w:val="63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b) Thành lập, củng cố và duy trì hoạt động thường xuyên của đội xung kích phòng, chống thiên tai theo quy định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4</w:t>
            </w:r>
          </w:p>
        </w:tc>
      </w:tr>
      <w:tr>
        <w:trPr>
          <w:trHeight w:val="612"/>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c) Đội xung kích được tập huấn, huấn luyện nghiệp vụ hàng năm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6</w:t>
            </w:r>
          </w:p>
        </w:tc>
      </w:tr>
      <w:tr>
        <w:trPr>
          <w:trHeight w:val="63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d) Có từ 70% trở lên số người dân trong vùng thường xuyên chịu ảnh hưởng của thiên tai được phổ biến kiến thức về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r>
      <w:tr>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II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spacing w:before="40" w:after="40"/>
              <w:rPr>
                <w:b/>
                <w:bCs/>
                <w:color w:val="000000"/>
              </w:rPr>
            </w:pPr>
            <w:r>
              <w:rPr>
                <w:b/>
                <w:bCs/>
                <w:color w:val="000000"/>
              </w:rPr>
              <w:t>Hoạt động phòng, chống thiên tai được triển khai chủ động và có hiệu quả, đáp ứng nhu cầu dân sinh</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40</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26</w:t>
            </w:r>
          </w:p>
        </w:tc>
      </w:tr>
      <w:tr>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rPr>
                <w:color w:val="000000"/>
              </w:rPr>
            </w:pPr>
            <w:r>
              <w:rPr>
                <w:color w:val="000000"/>
              </w:rPr>
              <w:t>Kế hoạch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a) Có Kế hoạch Phòng, chống thiên tai cấp xã được phê duyệt.</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r>
      <w:tr>
        <w:trPr>
          <w:trHeight w:val="45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b) Được rà soát, cập nhật, bổ sung hàng năm theo quy định.</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0</w:t>
            </w:r>
          </w:p>
        </w:tc>
      </w:tr>
      <w:tr>
        <w:trPr>
          <w:trHeight w:val="450"/>
        </w:trPr>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c) Có xác định vùng có nguy cơ cao về rủi ro theo các loại hình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r>
      <w:tr>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Phương án ứng phó thiên tai theo cấp độ rủi ro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Có phương </w:t>
            </w:r>
            <w:proofErr w:type="gramStart"/>
            <w:r>
              <w:rPr>
                <w:color w:val="000000"/>
              </w:rPr>
              <w:t>án</w:t>
            </w:r>
            <w:proofErr w:type="gramEnd"/>
            <w:r>
              <w:rPr>
                <w:color w:val="000000"/>
              </w:rPr>
              <w:t xml:space="preserve"> ứng phó đối với các loại hình thiên tai chủ yếu, thường xuyên xảy ra trên địa bàn được xây dựng cụ thể, chi tiết và phê duyệt phù hợp với quy định, tình hình đặc điểm thiên tai ở địa phương.</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6</w:t>
            </w:r>
          </w:p>
        </w:tc>
      </w:tr>
      <w:tr>
        <w:trPr>
          <w:trHeight w:val="9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color w:val="000000"/>
              </w:rPr>
            </w:pPr>
            <w:r>
              <w:rPr>
                <w:color w:val="000000"/>
              </w:rPr>
              <w:lastRenderedPageBreak/>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color w:val="000000"/>
              </w:rPr>
            </w:pPr>
            <w:r>
              <w:rPr>
                <w:color w:val="000000"/>
              </w:rPr>
              <w:t>Thực hiện có hiệu quả kế hoạch phòng, chống thiên tai được phê duyệt</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a) Ban chỉ huy PCTT&amp;TKCN cấp xã có phương </w:t>
            </w:r>
            <w:proofErr w:type="gramStart"/>
            <w:r>
              <w:rPr>
                <w:color w:val="000000"/>
              </w:rPr>
              <w:t>án</w:t>
            </w:r>
            <w:proofErr w:type="gramEnd"/>
            <w:r>
              <w:rPr>
                <w:color w:val="000000"/>
              </w:rPr>
              <w:t xml:space="preserve"> sẵn sàng huy động từ 70% trở lên số lượng của từng loại vật tư, phương tiện, trang thiết bị, nhu yếu phẩm phục vụ cho hoạt động phòng, chống thiên tai theo kế hoạch được duyệt.</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4</w:t>
            </w:r>
          </w:p>
        </w:tc>
      </w:tr>
      <w:tr>
        <w:trPr>
          <w:trHeight w:val="990"/>
        </w:trPr>
        <w:tc>
          <w:tcPr>
            <w:tcW w:w="0" w:type="auto"/>
            <w:vMerge/>
            <w:tcBorders>
              <w:top w:val="nil"/>
              <w:left w:val="single" w:sz="4" w:space="0" w:color="auto"/>
              <w:bottom w:val="single" w:sz="4" w:space="0" w:color="auto"/>
              <w:right w:val="single" w:sz="4" w:space="0" w:color="auto"/>
            </w:tcBorders>
            <w:vAlign w:val="center"/>
            <w:hideMark/>
          </w:tcPr>
          <w:p>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b) Có 100% số tổ chức trong vùng thường xuyên bị thiên tai chuẩn bị nhân lực, vật tư, phương tiện, trang thiết bị, nhu yếu phẩm phục vụ hoạt động phòng, chống thiên tai đáp ứng yêu cầu dân sinh tại chỗ theo kế hoạch được duyệt.</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r>
      <w:tr>
        <w:trPr>
          <w:trHeight w:val="990"/>
        </w:trPr>
        <w:tc>
          <w:tcPr>
            <w:tcW w:w="0" w:type="auto"/>
            <w:vMerge/>
            <w:tcBorders>
              <w:top w:val="nil"/>
              <w:left w:val="single" w:sz="4" w:space="0" w:color="auto"/>
              <w:bottom w:val="single" w:sz="4" w:space="0" w:color="auto"/>
              <w:right w:val="single" w:sz="4" w:space="0" w:color="auto"/>
            </w:tcBorders>
            <w:vAlign w:val="center"/>
            <w:hideMark/>
          </w:tcPr>
          <w:p>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 xml:space="preserve">c) Có 70% trở lên số hộ gia đình trong vùng thường xuyên bị thiên tai chuẩn bị nhân lực, vật tư, phương tiện, trang thiết bị, nhu yếu phẩm phục vụ hoạt động phòng, chống thiên tai đáp ứng yêu cầu dân sinh tại chỗ </w:t>
            </w:r>
          </w:p>
          <w:p>
            <w:pPr>
              <w:spacing w:before="40" w:after="40"/>
              <w:rPr>
                <w:color w:val="000000"/>
              </w:rPr>
            </w:pPr>
            <w:proofErr w:type="gramStart"/>
            <w:r>
              <w:rPr>
                <w:color w:val="000000"/>
              </w:rPr>
              <w:t>theo</w:t>
            </w:r>
            <w:proofErr w:type="gramEnd"/>
            <w:r>
              <w:rPr>
                <w:color w:val="000000"/>
              </w:rPr>
              <w:t xml:space="preserve"> kế hoạch được duyệt.</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r>
      <w:tr>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rPr>
            </w:pPr>
            <w:r>
              <w:rPr>
                <w:b/>
                <w:bCs/>
                <w:color w:val="000000"/>
              </w:rPr>
              <w:t>III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spacing w:before="40" w:after="40"/>
              <w:rPr>
                <w:b/>
                <w:bCs/>
                <w:color w:val="000000"/>
              </w:rPr>
            </w:pPr>
            <w:r>
              <w:rPr>
                <w:b/>
                <w:bCs/>
                <w:color w:val="000000"/>
              </w:rPr>
              <w:t>Về cơ sở hạ tầng thiết yếu</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25</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b/>
                <w:bCs/>
                <w:color w:val="000000"/>
              </w:rPr>
            </w:pPr>
            <w:r>
              <w:rPr>
                <w:b/>
                <w:bCs/>
                <w:color w:val="000000"/>
              </w:rPr>
              <w:t>20</w:t>
            </w:r>
          </w:p>
        </w:tc>
      </w:tr>
      <w:tr>
        <w:trPr>
          <w:trHeight w:val="12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rPr>
            </w:pPr>
            <w:r>
              <w:rPr>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rPr>
                <w:color w:val="000000"/>
              </w:rPr>
            </w:pPr>
            <w:r>
              <w:rPr>
                <w:color w:val="000000"/>
              </w:rPr>
              <w:t>Quy hoạch, xây dựng cơ sở hạ tầng</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a) Thực hiện lồng ghép nội dung phòng, chống thiên tai vào các Quy hoạch: sử dụng đất; phát triển dân sinh - kinh tế - xã hội - môi trường; điểm dân cư mới hoặc chỉnh trang các khu dân cư hiện có, đảm bảo phù hợp với loại hình thiên tai thường xuyên và các quy hoạch phòng chống lũ, đê điều (nếu 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0</w:t>
            </w:r>
          </w:p>
        </w:tc>
      </w:tr>
      <w:tr>
        <w:trPr>
          <w:trHeight w:val="945"/>
        </w:trPr>
        <w:tc>
          <w:tcPr>
            <w:tcW w:w="0" w:type="auto"/>
            <w:vMerge/>
            <w:tcBorders>
              <w:top w:val="nil"/>
              <w:left w:val="single" w:sz="4" w:space="0" w:color="auto"/>
              <w:bottom w:val="single" w:sz="4" w:space="0" w:color="auto"/>
              <w:right w:val="single" w:sz="4" w:space="0" w:color="auto"/>
            </w:tcBorders>
            <w:vAlign w:val="center"/>
            <w:hideMark/>
          </w:tcPr>
          <w:p>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b) 100% số cơ sở hạ tầng được xây dựng mới phù hợp với các tiêu chuẩn, quy chuẩn an toàn trước thiên tai đã được ban hành hoặc được lồng ghép nội dung an toàn trước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3</w:t>
            </w:r>
          </w:p>
        </w:tc>
      </w:tr>
      <w:tr>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rPr>
            </w:pPr>
            <w:r>
              <w:rPr>
                <w:color w:val="000000"/>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rPr>
                <w:color w:val="000000"/>
              </w:rPr>
            </w:pPr>
            <w:r>
              <w:rPr>
                <w:color w:val="000000"/>
              </w:rPr>
              <w:t>Thông tin, cảnh báo và ứng phó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a) Có hệ thống thu nhận, truyền tải và cung cấp thông tin dự báo, cảnh báo và ứng phó thiên tai đảm bảo 100% số hộ gia đình được tiếp nhận một cách kịp thời, đầy đủ.</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r>
      <w:tr>
        <w:trPr>
          <w:trHeight w:val="630"/>
        </w:trPr>
        <w:tc>
          <w:tcPr>
            <w:tcW w:w="0" w:type="auto"/>
            <w:vMerge/>
            <w:tcBorders>
              <w:top w:val="nil"/>
              <w:left w:val="single" w:sz="4" w:space="0" w:color="auto"/>
              <w:bottom w:val="single" w:sz="4" w:space="0" w:color="auto"/>
              <w:right w:val="single" w:sz="4" w:space="0" w:color="auto"/>
            </w:tcBorders>
            <w:vAlign w:val="center"/>
            <w:hideMark/>
          </w:tcPr>
          <w:p>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pPr>
              <w:spacing w:before="40" w:after="40"/>
              <w:rPr>
                <w:color w:val="000000"/>
              </w:rPr>
            </w:pP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b) 100% số điểm có nguy cơ cao về rủi ro thiên tai được lắp đ</w:t>
            </w:r>
            <w:bookmarkStart w:id="0" w:name="_GoBack"/>
            <w:bookmarkEnd w:id="0"/>
            <w:r>
              <w:rPr>
                <w:color w:val="000000"/>
              </w:rPr>
              <w:t>ặt hệ thống hướng dẫn, cảnh báo.</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Có</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7</w:t>
            </w:r>
          </w:p>
        </w:tc>
      </w:tr>
      <w:tr>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Thực thi pháp luật về bảo vệ công trình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rPr>
                <w:color w:val="000000"/>
              </w:rPr>
            </w:pPr>
            <w:r>
              <w:rPr>
                <w:color w:val="000000"/>
              </w:rPr>
              <w:t>Tất cả các vụ vi phạm pháp luật về bảo vệ công trình phòng, chống thiên tai được kiểm tra, phát hiện và xử lý; không để phát sinh những vụ vi phạm mới hoặc phải kiểm tra, phát hiện và ngăn chặn kịp thời.</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pPr>
              <w:spacing w:before="40" w:after="40"/>
              <w:jc w:val="center"/>
              <w:rPr>
                <w:color w:val="000000"/>
              </w:rPr>
            </w:pPr>
            <w:r>
              <w:rPr>
                <w:color w:val="000000"/>
              </w:rPr>
              <w:t>5</w:t>
            </w:r>
          </w:p>
        </w:tc>
      </w:tr>
    </w:tbl>
    <w:p>
      <w:pPr>
        <w:spacing w:after="120"/>
        <w:jc w:val="center"/>
        <w:rPr>
          <w:b/>
          <w:sz w:val="28"/>
          <w:lang w:val="vi-VN"/>
        </w:rPr>
      </w:pPr>
    </w:p>
    <w:p>
      <w:pPr>
        <w:spacing w:after="120"/>
        <w:jc w:val="center"/>
        <w:rPr>
          <w:b/>
          <w:sz w:val="28"/>
        </w:rPr>
      </w:pPr>
    </w:p>
    <w:sectPr>
      <w:headerReference w:type="default" r:id="rId8"/>
      <w:pgSz w:w="11907" w:h="16840" w:code="9"/>
      <w:pgMar w:top="1134" w:right="1134" w:bottom="1134" w:left="1701" w:header="794" w:footer="5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2909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62E2"/>
    <w:multiLevelType w:val="hybridMultilevel"/>
    <w:tmpl w:val="67B03BE8"/>
    <w:lvl w:ilvl="0" w:tplc="8424B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Pr>
      <w:i/>
      <w:iCs/>
      <w:color w:val="FF0000"/>
      <w:sz w:val="28"/>
      <w:szCs w:val="28"/>
    </w:rPr>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ListParagraph">
    <w:name w:val="List Paragraph"/>
    <w:basedOn w:val="Normal"/>
    <w:uiPriority w:val="1"/>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Pr>
      <w:i/>
      <w:iCs/>
      <w:color w:val="FF0000"/>
      <w:sz w:val="28"/>
      <w:szCs w:val="28"/>
    </w:rPr>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15F17AC-5001-4151-BDBA-D8815F8791AF}"/>
</file>

<file path=customXml/itemProps2.xml><?xml version="1.0" encoding="utf-8"?>
<ds:datastoreItem xmlns:ds="http://schemas.openxmlformats.org/officeDocument/2006/customXml" ds:itemID="{FEB78133-8BCE-4508-980F-83347AFCFD9F}"/>
</file>

<file path=customXml/itemProps3.xml><?xml version="1.0" encoding="utf-8"?>
<ds:datastoreItem xmlns:ds="http://schemas.openxmlformats.org/officeDocument/2006/customXml" ds:itemID="{E2A77D9E-5F6A-4401-AC22-637ADE4B0056}"/>
</file>

<file path=docProps/app.xml><?xml version="1.0" encoding="utf-8"?>
<Properties xmlns="http://schemas.openxmlformats.org/officeDocument/2006/extended-properties" xmlns:vt="http://schemas.openxmlformats.org/officeDocument/2006/docPropsVTypes">
  <Template>Normal</Template>
  <TotalTime>239</TotalTime>
  <Pages>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2022-12-13T00:53:00Z</dcterms:created>
  <dcterms:modified xsi:type="dcterms:W3CDTF">2024-09-12T03:07:00Z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